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34BD" w14:textId="6CC72156" w:rsidR="001340AF" w:rsidRDefault="001340AF">
      <w:pPr>
        <w:rPr>
          <w:b/>
        </w:rPr>
      </w:pPr>
    </w:p>
    <w:p w14:paraId="00DA8919" w14:textId="0BE54690" w:rsidR="00A17A03" w:rsidRDefault="00A17A03" w:rsidP="008C6E75">
      <w:pPr>
        <w:jc w:val="center"/>
        <w:rPr>
          <w:rFonts w:cstheme="minorHAnsi"/>
          <w:b/>
          <w:sz w:val="24"/>
          <w:szCs w:val="24"/>
        </w:rPr>
      </w:pPr>
      <w:r>
        <w:rPr>
          <w:rFonts w:cstheme="minorHAnsi"/>
          <w:b/>
          <w:noProof/>
          <w:sz w:val="24"/>
          <w:szCs w:val="24"/>
        </w:rPr>
        <w:drawing>
          <wp:inline distT="0" distB="0" distL="0" distR="0" wp14:anchorId="75D0B9C2" wp14:editId="2D26A8B9">
            <wp:extent cx="2135411" cy="932359"/>
            <wp:effectExtent l="0" t="0" r="0" b="127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06" cy="940303"/>
                    </a:xfrm>
                    <a:prstGeom prst="rect">
                      <a:avLst/>
                    </a:prstGeom>
                  </pic:spPr>
                </pic:pic>
              </a:graphicData>
            </a:graphic>
          </wp:inline>
        </w:drawing>
      </w:r>
    </w:p>
    <w:p w14:paraId="6B613716" w14:textId="4E264F53" w:rsidR="000F3A10" w:rsidRPr="008C6E75" w:rsidRDefault="00720E76" w:rsidP="008C6E75">
      <w:pPr>
        <w:jc w:val="center"/>
        <w:rPr>
          <w:rFonts w:cstheme="minorHAnsi"/>
          <w:b/>
          <w:sz w:val="24"/>
          <w:szCs w:val="24"/>
        </w:rPr>
      </w:pPr>
      <w:r w:rsidRPr="008C6E75">
        <w:rPr>
          <w:rFonts w:cstheme="minorHAnsi"/>
          <w:b/>
          <w:sz w:val="24"/>
          <w:szCs w:val="24"/>
        </w:rPr>
        <w:t>N</w:t>
      </w:r>
      <w:r w:rsidR="008C6E75" w:rsidRPr="008C6E75">
        <w:rPr>
          <w:rFonts w:cstheme="minorHAnsi"/>
          <w:b/>
          <w:sz w:val="24"/>
          <w:szCs w:val="24"/>
        </w:rPr>
        <w:t xml:space="preserve">ajoua </w:t>
      </w:r>
      <w:r w:rsidRPr="008C6E75">
        <w:rPr>
          <w:rFonts w:cstheme="minorHAnsi"/>
          <w:b/>
          <w:sz w:val="24"/>
          <w:szCs w:val="24"/>
        </w:rPr>
        <w:t>M</w:t>
      </w:r>
      <w:r w:rsidR="008C6E75" w:rsidRPr="008C6E75">
        <w:rPr>
          <w:rFonts w:cstheme="minorHAnsi"/>
          <w:b/>
          <w:sz w:val="24"/>
          <w:szCs w:val="24"/>
        </w:rPr>
        <w:t>lika-</w:t>
      </w:r>
      <w:r w:rsidRPr="008C6E75">
        <w:rPr>
          <w:rFonts w:cstheme="minorHAnsi"/>
          <w:b/>
          <w:sz w:val="24"/>
          <w:szCs w:val="24"/>
        </w:rPr>
        <w:t>C</w:t>
      </w:r>
      <w:r w:rsidR="008C6E75" w:rsidRPr="008C6E75">
        <w:rPr>
          <w:rFonts w:cstheme="minorHAnsi"/>
          <w:b/>
          <w:sz w:val="24"/>
          <w:szCs w:val="24"/>
        </w:rPr>
        <w:t>abanne</w:t>
      </w:r>
      <w:r w:rsidRPr="008C6E75">
        <w:rPr>
          <w:rFonts w:cstheme="minorHAnsi"/>
          <w:b/>
          <w:sz w:val="24"/>
          <w:szCs w:val="24"/>
        </w:rPr>
        <w:t xml:space="preserve"> Award – Nomination Criteria</w:t>
      </w:r>
    </w:p>
    <w:p w14:paraId="0B8B2D93" w14:textId="77777777" w:rsidR="00720E76" w:rsidRPr="008C6E75" w:rsidRDefault="00720E76">
      <w:pPr>
        <w:rPr>
          <w:rFonts w:cstheme="minorHAnsi"/>
          <w:b/>
          <w:sz w:val="24"/>
          <w:szCs w:val="24"/>
        </w:rPr>
      </w:pPr>
      <w:r w:rsidRPr="008C6E75">
        <w:rPr>
          <w:rFonts w:cstheme="minorHAnsi"/>
          <w:b/>
          <w:sz w:val="24"/>
          <w:szCs w:val="24"/>
        </w:rPr>
        <w:t>Background</w:t>
      </w:r>
    </w:p>
    <w:p w14:paraId="75600723" w14:textId="470AC1F0" w:rsidR="00B86FFA" w:rsidRPr="008C6E75" w:rsidRDefault="00B86FFA" w:rsidP="00B86FFA">
      <w:pPr>
        <w:rPr>
          <w:rFonts w:cstheme="minorHAnsi"/>
          <w:sz w:val="24"/>
          <w:szCs w:val="24"/>
        </w:rPr>
      </w:pPr>
      <w:r w:rsidRPr="008C6E75">
        <w:rPr>
          <w:rFonts w:cstheme="minorHAnsi"/>
          <w:sz w:val="24"/>
          <w:szCs w:val="24"/>
        </w:rPr>
        <w:t>The Najoua Mlika-Cabanne Innovation Award was established in memory of Najoua Mlika</w:t>
      </w:r>
      <w:r w:rsidR="00D93E60" w:rsidRPr="008C6E75">
        <w:rPr>
          <w:rFonts w:cstheme="minorHAnsi"/>
          <w:sz w:val="24"/>
          <w:szCs w:val="24"/>
        </w:rPr>
        <w:t>-</w:t>
      </w:r>
      <w:r w:rsidRPr="008C6E75">
        <w:rPr>
          <w:rFonts w:cstheme="minorHAnsi"/>
          <w:sz w:val="24"/>
          <w:szCs w:val="24"/>
        </w:rPr>
        <w:t xml:space="preserve">Cabanne, formerly Deputy Head of the Guidelines Department at the Haute Autorité de Santé (HAS, French National Authority for Health), Trustee of the Guidelines International Network between 2003 and 2010, and GIN Honorary Patron, who died in 2011. During her career Najoua made a significant contribution to the science of clinical guideline development and consistently fostered international collaboration and friendship. </w:t>
      </w:r>
    </w:p>
    <w:p w14:paraId="7FFEC664" w14:textId="0C98A6BC" w:rsidR="00B86FFA" w:rsidRPr="008C6E75" w:rsidRDefault="00B86FFA" w:rsidP="00B86FFA">
      <w:pPr>
        <w:rPr>
          <w:rFonts w:cstheme="minorHAnsi"/>
          <w:sz w:val="24"/>
          <w:szCs w:val="24"/>
        </w:rPr>
      </w:pPr>
      <w:r w:rsidRPr="008C6E75">
        <w:rPr>
          <w:rFonts w:cstheme="minorHAnsi"/>
          <w:sz w:val="24"/>
          <w:szCs w:val="24"/>
        </w:rPr>
        <w:t>This GIN award acknowledges an individual’s contribution to innovation in the methodology, development, and /or implementation of clinical practice guidelines</w:t>
      </w:r>
      <w:r w:rsidR="00266D7B" w:rsidRPr="008C6E75">
        <w:rPr>
          <w:rFonts w:cstheme="minorHAnsi"/>
          <w:sz w:val="24"/>
          <w:szCs w:val="24"/>
        </w:rPr>
        <w:t xml:space="preserve">. </w:t>
      </w:r>
      <w:r w:rsidRPr="008C6E75">
        <w:rPr>
          <w:rFonts w:cstheme="minorHAnsi"/>
          <w:sz w:val="24"/>
          <w:szCs w:val="24"/>
        </w:rPr>
        <w:t>The emphasis of the award will be on an early career individual – someone who has quickly demonstrated a significant impact within the profession.</w:t>
      </w:r>
    </w:p>
    <w:p w14:paraId="6E5B2499" w14:textId="77777777" w:rsidR="001340AF" w:rsidRPr="008C6E75" w:rsidRDefault="001340AF" w:rsidP="001340AF">
      <w:pPr>
        <w:rPr>
          <w:rFonts w:cstheme="minorHAnsi"/>
          <w:b/>
          <w:sz w:val="24"/>
          <w:szCs w:val="24"/>
        </w:rPr>
      </w:pPr>
      <w:r w:rsidRPr="008C6E75">
        <w:rPr>
          <w:rFonts w:cstheme="minorHAnsi"/>
          <w:b/>
          <w:sz w:val="24"/>
          <w:szCs w:val="24"/>
        </w:rPr>
        <w:t>Nomination Process</w:t>
      </w:r>
    </w:p>
    <w:p w14:paraId="3997EB9B" w14:textId="0D61D0DF" w:rsidR="001340AF" w:rsidRPr="008C6E75" w:rsidRDefault="001340AF" w:rsidP="001F4534">
      <w:pPr>
        <w:pStyle w:val="ListParagraph"/>
        <w:numPr>
          <w:ilvl w:val="0"/>
          <w:numId w:val="1"/>
        </w:numPr>
        <w:rPr>
          <w:rFonts w:cstheme="minorHAnsi"/>
          <w:sz w:val="24"/>
          <w:szCs w:val="24"/>
        </w:rPr>
      </w:pPr>
      <w:r w:rsidRPr="008C6E75">
        <w:rPr>
          <w:rFonts w:cstheme="minorHAnsi"/>
          <w:sz w:val="24"/>
          <w:szCs w:val="24"/>
        </w:rPr>
        <w:t>Nominations can only be made by organisation</w:t>
      </w:r>
      <w:r w:rsidR="001F4534" w:rsidRPr="008C6E75">
        <w:rPr>
          <w:rFonts w:cstheme="minorHAnsi"/>
          <w:sz w:val="24"/>
          <w:szCs w:val="24"/>
        </w:rPr>
        <w:t>al GIN members</w:t>
      </w:r>
    </w:p>
    <w:p w14:paraId="1436740D" w14:textId="77777777" w:rsidR="001340AF" w:rsidRPr="008C6E75" w:rsidRDefault="001F4534" w:rsidP="001F4534">
      <w:pPr>
        <w:pStyle w:val="ListParagraph"/>
        <w:numPr>
          <w:ilvl w:val="0"/>
          <w:numId w:val="1"/>
        </w:numPr>
        <w:rPr>
          <w:rFonts w:cstheme="minorHAnsi"/>
          <w:sz w:val="24"/>
          <w:szCs w:val="24"/>
        </w:rPr>
      </w:pPr>
      <w:r w:rsidRPr="008C6E75">
        <w:rPr>
          <w:rFonts w:cstheme="minorHAnsi"/>
          <w:sz w:val="24"/>
          <w:szCs w:val="24"/>
        </w:rPr>
        <w:t xml:space="preserve">Self-nomination is not </w:t>
      </w:r>
      <w:r w:rsidR="00601443" w:rsidRPr="008C6E75">
        <w:rPr>
          <w:rFonts w:cstheme="minorHAnsi"/>
          <w:sz w:val="24"/>
          <w:szCs w:val="24"/>
        </w:rPr>
        <w:t>permitted</w:t>
      </w:r>
    </w:p>
    <w:p w14:paraId="080EC8EE" w14:textId="77777777" w:rsidR="001F4534" w:rsidRPr="008C6E75" w:rsidRDefault="001340AF" w:rsidP="001F4534">
      <w:pPr>
        <w:pStyle w:val="ListParagraph"/>
        <w:numPr>
          <w:ilvl w:val="0"/>
          <w:numId w:val="1"/>
        </w:numPr>
        <w:rPr>
          <w:rFonts w:cstheme="minorHAnsi"/>
          <w:sz w:val="24"/>
          <w:szCs w:val="24"/>
        </w:rPr>
      </w:pPr>
      <w:r w:rsidRPr="008C6E75">
        <w:rPr>
          <w:rFonts w:cstheme="minorHAnsi"/>
          <w:sz w:val="24"/>
          <w:szCs w:val="24"/>
        </w:rPr>
        <w:t>An Award Committee compris</w:t>
      </w:r>
      <w:r w:rsidR="00601443" w:rsidRPr="008C6E75">
        <w:rPr>
          <w:rFonts w:cstheme="minorHAnsi"/>
          <w:sz w:val="24"/>
          <w:szCs w:val="24"/>
        </w:rPr>
        <w:t xml:space="preserve">ing </w:t>
      </w:r>
      <w:r w:rsidRPr="008C6E75">
        <w:rPr>
          <w:rFonts w:cstheme="minorHAnsi"/>
          <w:sz w:val="24"/>
          <w:szCs w:val="24"/>
        </w:rPr>
        <w:t>of guideline experts is sel</w:t>
      </w:r>
      <w:r w:rsidR="00601443" w:rsidRPr="008C6E75">
        <w:rPr>
          <w:rFonts w:cstheme="minorHAnsi"/>
          <w:sz w:val="24"/>
          <w:szCs w:val="24"/>
        </w:rPr>
        <w:t>ected by the Board of Trustees</w:t>
      </w:r>
    </w:p>
    <w:p w14:paraId="3A3EFA66" w14:textId="61956640" w:rsidR="001F4534" w:rsidRPr="008C6E75" w:rsidRDefault="001F4534" w:rsidP="001F4534">
      <w:pPr>
        <w:pStyle w:val="ListParagraph"/>
        <w:numPr>
          <w:ilvl w:val="0"/>
          <w:numId w:val="1"/>
        </w:numPr>
        <w:rPr>
          <w:rFonts w:cstheme="minorHAnsi"/>
          <w:sz w:val="24"/>
          <w:szCs w:val="24"/>
        </w:rPr>
      </w:pPr>
      <w:r w:rsidRPr="008C6E75">
        <w:rPr>
          <w:rFonts w:cstheme="minorHAnsi"/>
          <w:sz w:val="24"/>
          <w:szCs w:val="24"/>
        </w:rPr>
        <w:t xml:space="preserve">The </w:t>
      </w:r>
      <w:r w:rsidR="001340AF" w:rsidRPr="008C6E75">
        <w:rPr>
          <w:rFonts w:cstheme="minorHAnsi"/>
          <w:sz w:val="24"/>
          <w:szCs w:val="24"/>
        </w:rPr>
        <w:t>Committee co</w:t>
      </w:r>
      <w:r w:rsidRPr="008C6E75">
        <w:rPr>
          <w:rFonts w:cstheme="minorHAnsi"/>
          <w:sz w:val="24"/>
          <w:szCs w:val="24"/>
        </w:rPr>
        <w:t xml:space="preserve">nsists of </w:t>
      </w:r>
      <w:r w:rsidR="001340AF" w:rsidRPr="008C6E75">
        <w:rPr>
          <w:rFonts w:cstheme="minorHAnsi"/>
          <w:sz w:val="24"/>
          <w:szCs w:val="24"/>
        </w:rPr>
        <w:t xml:space="preserve">up to 7 members including a </w:t>
      </w:r>
      <w:r w:rsidR="00601443" w:rsidRPr="008C6E75">
        <w:rPr>
          <w:rFonts w:cstheme="minorHAnsi"/>
          <w:sz w:val="24"/>
          <w:szCs w:val="24"/>
        </w:rPr>
        <w:t>C</w:t>
      </w:r>
      <w:r w:rsidR="001340AF" w:rsidRPr="008C6E75">
        <w:rPr>
          <w:rFonts w:cstheme="minorHAnsi"/>
          <w:sz w:val="24"/>
          <w:szCs w:val="24"/>
        </w:rPr>
        <w:t>hair, a Board liaison, and a geographically diverse representati</w:t>
      </w:r>
      <w:r w:rsidR="00601443" w:rsidRPr="008C6E75">
        <w:rPr>
          <w:rFonts w:cstheme="minorHAnsi"/>
          <w:sz w:val="24"/>
          <w:szCs w:val="24"/>
        </w:rPr>
        <w:t>on of GIN guideline experts</w:t>
      </w:r>
    </w:p>
    <w:p w14:paraId="1D18EDC7" w14:textId="77777777" w:rsidR="001340AF" w:rsidRPr="008C6E75" w:rsidRDefault="00601443" w:rsidP="001F4534">
      <w:pPr>
        <w:pStyle w:val="ListParagraph"/>
        <w:numPr>
          <w:ilvl w:val="0"/>
          <w:numId w:val="1"/>
        </w:numPr>
        <w:rPr>
          <w:rFonts w:cstheme="minorHAnsi"/>
          <w:sz w:val="24"/>
          <w:szCs w:val="24"/>
        </w:rPr>
      </w:pPr>
      <w:r w:rsidRPr="008C6E75">
        <w:rPr>
          <w:rFonts w:cstheme="minorHAnsi"/>
          <w:sz w:val="24"/>
          <w:szCs w:val="24"/>
        </w:rPr>
        <w:t>T</w:t>
      </w:r>
      <w:r w:rsidR="001340AF" w:rsidRPr="008C6E75">
        <w:rPr>
          <w:rFonts w:cstheme="minorHAnsi"/>
          <w:sz w:val="24"/>
          <w:szCs w:val="24"/>
        </w:rPr>
        <w:t xml:space="preserve">he final decision </w:t>
      </w:r>
      <w:r w:rsidR="001C6418" w:rsidRPr="008C6E75">
        <w:rPr>
          <w:rFonts w:cstheme="minorHAnsi"/>
          <w:sz w:val="24"/>
          <w:szCs w:val="24"/>
        </w:rPr>
        <w:t>will be made by the Board of Trustees</w:t>
      </w:r>
    </w:p>
    <w:p w14:paraId="5EF39A0F" w14:textId="77777777" w:rsidR="00E06783" w:rsidRPr="008C6E75" w:rsidRDefault="001C6418" w:rsidP="00E06783">
      <w:pPr>
        <w:rPr>
          <w:rFonts w:cstheme="minorHAnsi"/>
          <w:b/>
          <w:sz w:val="24"/>
          <w:szCs w:val="24"/>
        </w:rPr>
      </w:pPr>
      <w:r w:rsidRPr="008C6E75">
        <w:rPr>
          <w:rFonts w:cstheme="minorHAnsi"/>
          <w:b/>
          <w:sz w:val="24"/>
          <w:szCs w:val="24"/>
        </w:rPr>
        <w:t>Eligibility &amp; Criteria</w:t>
      </w:r>
    </w:p>
    <w:p w14:paraId="426A28CF" w14:textId="77777777" w:rsidR="001C6418" w:rsidRPr="008C6E75" w:rsidRDefault="001C6418" w:rsidP="001C6418">
      <w:pPr>
        <w:pStyle w:val="ListParagraph"/>
        <w:numPr>
          <w:ilvl w:val="0"/>
          <w:numId w:val="2"/>
        </w:numPr>
        <w:rPr>
          <w:rFonts w:cstheme="minorHAnsi"/>
          <w:sz w:val="24"/>
          <w:szCs w:val="24"/>
        </w:rPr>
      </w:pPr>
      <w:r w:rsidRPr="008C6E75">
        <w:rPr>
          <w:rFonts w:cstheme="minorHAnsi"/>
          <w:sz w:val="24"/>
          <w:szCs w:val="24"/>
        </w:rPr>
        <w:t>The individual must evidence extraordinary efforts in innovation in the methodology, development, and/or implementation of clinical practice guidelines</w:t>
      </w:r>
    </w:p>
    <w:p w14:paraId="7DAC7499" w14:textId="77777777" w:rsidR="001C6418" w:rsidRPr="008C6E75" w:rsidRDefault="001C6418" w:rsidP="001C6418">
      <w:pPr>
        <w:pStyle w:val="ListParagraph"/>
        <w:numPr>
          <w:ilvl w:val="0"/>
          <w:numId w:val="2"/>
        </w:numPr>
        <w:rPr>
          <w:rFonts w:cstheme="minorHAnsi"/>
          <w:sz w:val="24"/>
          <w:szCs w:val="24"/>
        </w:rPr>
      </w:pPr>
      <w:r w:rsidRPr="008C6E75">
        <w:rPr>
          <w:rFonts w:cstheme="minorHAnsi"/>
          <w:sz w:val="24"/>
          <w:szCs w:val="24"/>
        </w:rPr>
        <w:t>All individuals should be able to demonstrate an extraordinary/outstanding contribution to the guideline community</w:t>
      </w:r>
    </w:p>
    <w:p w14:paraId="5C0204E5" w14:textId="77777777" w:rsidR="001C6418" w:rsidRPr="008C6E75" w:rsidRDefault="001C6418" w:rsidP="001C6418">
      <w:pPr>
        <w:pStyle w:val="ListParagraph"/>
        <w:numPr>
          <w:ilvl w:val="0"/>
          <w:numId w:val="2"/>
        </w:numPr>
        <w:rPr>
          <w:rFonts w:cstheme="minorHAnsi"/>
          <w:sz w:val="24"/>
          <w:szCs w:val="24"/>
        </w:rPr>
      </w:pPr>
      <w:r w:rsidRPr="008C6E75">
        <w:rPr>
          <w:rFonts w:cstheme="minorHAnsi"/>
          <w:sz w:val="24"/>
          <w:szCs w:val="24"/>
        </w:rPr>
        <w:t>An emphasis placed on selecting an “early career” individual, who has likely worked in the guideline arena for 5 – 10 years</w:t>
      </w:r>
    </w:p>
    <w:p w14:paraId="5482B402" w14:textId="3C6B9AAD" w:rsidR="001C6418" w:rsidRPr="008C6E75" w:rsidRDefault="001C6418" w:rsidP="00E503E4">
      <w:pPr>
        <w:pStyle w:val="ListParagraph"/>
        <w:numPr>
          <w:ilvl w:val="0"/>
          <w:numId w:val="2"/>
        </w:numPr>
        <w:rPr>
          <w:rFonts w:cstheme="minorHAnsi"/>
          <w:sz w:val="24"/>
          <w:szCs w:val="24"/>
        </w:rPr>
      </w:pPr>
      <w:r w:rsidRPr="008C6E75">
        <w:rPr>
          <w:rFonts w:cstheme="minorHAnsi"/>
          <w:sz w:val="24"/>
          <w:szCs w:val="24"/>
        </w:rPr>
        <w:t>Current members of the Board, GIN staff or Award Committee are not eligible</w:t>
      </w:r>
    </w:p>
    <w:p w14:paraId="3540A35E" w14:textId="7045C527" w:rsidR="001C6418" w:rsidRPr="008C6E75" w:rsidRDefault="001C6418" w:rsidP="001C6418">
      <w:pPr>
        <w:pStyle w:val="ListParagraph"/>
        <w:numPr>
          <w:ilvl w:val="0"/>
          <w:numId w:val="2"/>
        </w:numPr>
        <w:rPr>
          <w:rFonts w:cstheme="minorHAnsi"/>
          <w:b/>
          <w:sz w:val="24"/>
          <w:szCs w:val="24"/>
        </w:rPr>
      </w:pPr>
      <w:r w:rsidRPr="008C6E75">
        <w:rPr>
          <w:rFonts w:cstheme="minorHAnsi"/>
          <w:sz w:val="24"/>
          <w:szCs w:val="24"/>
        </w:rPr>
        <w:t>Nominees must be GIN members</w:t>
      </w:r>
    </w:p>
    <w:p w14:paraId="0BC8238B" w14:textId="77777777" w:rsidR="001C6418" w:rsidRPr="008C6E75" w:rsidRDefault="001C6418" w:rsidP="001C6418">
      <w:pPr>
        <w:pStyle w:val="ListParagraph"/>
        <w:numPr>
          <w:ilvl w:val="0"/>
          <w:numId w:val="2"/>
        </w:numPr>
        <w:rPr>
          <w:rFonts w:cstheme="minorHAnsi"/>
          <w:b/>
          <w:sz w:val="24"/>
          <w:szCs w:val="24"/>
        </w:rPr>
      </w:pPr>
      <w:r w:rsidRPr="008C6E75">
        <w:rPr>
          <w:rFonts w:cstheme="minorHAnsi"/>
          <w:sz w:val="24"/>
          <w:szCs w:val="24"/>
        </w:rPr>
        <w:t>Shortlisted nominees will be re-considered for up to two years</w:t>
      </w:r>
    </w:p>
    <w:p w14:paraId="11DFEB8D" w14:textId="77777777" w:rsidR="001340AF" w:rsidRPr="008C6E75" w:rsidRDefault="00601443" w:rsidP="001340AF">
      <w:pPr>
        <w:rPr>
          <w:rFonts w:cstheme="minorHAnsi"/>
          <w:b/>
          <w:sz w:val="24"/>
          <w:szCs w:val="24"/>
        </w:rPr>
      </w:pPr>
      <w:r w:rsidRPr="008C6E75">
        <w:rPr>
          <w:rFonts w:cstheme="minorHAnsi"/>
          <w:b/>
          <w:sz w:val="24"/>
          <w:szCs w:val="24"/>
        </w:rPr>
        <w:t>Nomination Content</w:t>
      </w:r>
    </w:p>
    <w:p w14:paraId="565C3D37" w14:textId="77777777" w:rsidR="001340AF" w:rsidRPr="008C6E75" w:rsidRDefault="001340AF" w:rsidP="00B94EB5">
      <w:pPr>
        <w:pStyle w:val="ListParagraph"/>
        <w:numPr>
          <w:ilvl w:val="0"/>
          <w:numId w:val="3"/>
        </w:numPr>
        <w:rPr>
          <w:rFonts w:cstheme="minorHAnsi"/>
          <w:sz w:val="24"/>
          <w:szCs w:val="24"/>
        </w:rPr>
      </w:pPr>
      <w:r w:rsidRPr="008C6E75">
        <w:rPr>
          <w:rFonts w:cstheme="minorHAnsi"/>
          <w:sz w:val="24"/>
          <w:szCs w:val="24"/>
        </w:rPr>
        <w:t>A statement of no more than 500 words, giving reasons for the nomination and st</w:t>
      </w:r>
      <w:r w:rsidR="00B94EB5" w:rsidRPr="008C6E75">
        <w:rPr>
          <w:rFonts w:cstheme="minorHAnsi"/>
          <w:sz w:val="24"/>
          <w:szCs w:val="24"/>
        </w:rPr>
        <w:t>a</w:t>
      </w:r>
      <w:r w:rsidRPr="008C6E75">
        <w:rPr>
          <w:rFonts w:cstheme="minorHAnsi"/>
          <w:sz w:val="24"/>
          <w:szCs w:val="24"/>
        </w:rPr>
        <w:t>ting why the nominee deserves the award</w:t>
      </w:r>
    </w:p>
    <w:p w14:paraId="2BA53B47" w14:textId="77777777" w:rsidR="001340AF" w:rsidRPr="008C6E75" w:rsidRDefault="001340AF" w:rsidP="00B94EB5">
      <w:pPr>
        <w:pStyle w:val="ListParagraph"/>
        <w:numPr>
          <w:ilvl w:val="0"/>
          <w:numId w:val="3"/>
        </w:numPr>
        <w:rPr>
          <w:rFonts w:cstheme="minorHAnsi"/>
          <w:sz w:val="24"/>
          <w:szCs w:val="24"/>
        </w:rPr>
      </w:pPr>
      <w:r w:rsidRPr="008C6E75">
        <w:rPr>
          <w:rFonts w:cstheme="minorHAnsi"/>
          <w:sz w:val="24"/>
          <w:szCs w:val="24"/>
        </w:rPr>
        <w:t>Name, position, affiliation and contact details of the nominee</w:t>
      </w:r>
    </w:p>
    <w:p w14:paraId="7CDFD387" w14:textId="77777777" w:rsidR="001340AF" w:rsidRPr="008C6E75" w:rsidRDefault="00B94EB5" w:rsidP="00B94EB5">
      <w:pPr>
        <w:pStyle w:val="ListParagraph"/>
        <w:numPr>
          <w:ilvl w:val="0"/>
          <w:numId w:val="3"/>
        </w:numPr>
        <w:rPr>
          <w:rFonts w:cstheme="minorHAnsi"/>
          <w:sz w:val="24"/>
          <w:szCs w:val="24"/>
        </w:rPr>
      </w:pPr>
      <w:r w:rsidRPr="008C6E75">
        <w:rPr>
          <w:rFonts w:cstheme="minorHAnsi"/>
          <w:sz w:val="24"/>
          <w:szCs w:val="24"/>
        </w:rPr>
        <w:t xml:space="preserve">The nominee’s </w:t>
      </w:r>
      <w:r w:rsidR="001340AF" w:rsidRPr="008C6E75">
        <w:rPr>
          <w:rFonts w:cstheme="minorHAnsi"/>
          <w:sz w:val="24"/>
          <w:szCs w:val="24"/>
        </w:rPr>
        <w:t>CV or link to the CV</w:t>
      </w:r>
      <w:r w:rsidRPr="008C6E75">
        <w:rPr>
          <w:rFonts w:cstheme="minorHAnsi"/>
          <w:sz w:val="24"/>
          <w:szCs w:val="24"/>
        </w:rPr>
        <w:t xml:space="preserve">, </w:t>
      </w:r>
      <w:r w:rsidR="001340AF" w:rsidRPr="008C6E75">
        <w:rPr>
          <w:rFonts w:cstheme="minorHAnsi"/>
          <w:sz w:val="24"/>
          <w:szCs w:val="24"/>
        </w:rPr>
        <w:t xml:space="preserve">and </w:t>
      </w:r>
      <w:r w:rsidRPr="008C6E75">
        <w:rPr>
          <w:rFonts w:cstheme="minorHAnsi"/>
          <w:sz w:val="24"/>
          <w:szCs w:val="24"/>
        </w:rPr>
        <w:t xml:space="preserve">a </w:t>
      </w:r>
      <w:r w:rsidR="001340AF" w:rsidRPr="008C6E75">
        <w:rPr>
          <w:rFonts w:cstheme="minorHAnsi"/>
          <w:sz w:val="24"/>
          <w:szCs w:val="24"/>
        </w:rPr>
        <w:t>list of rele</w:t>
      </w:r>
      <w:r w:rsidRPr="008C6E75">
        <w:rPr>
          <w:rFonts w:cstheme="minorHAnsi"/>
          <w:sz w:val="24"/>
          <w:szCs w:val="24"/>
        </w:rPr>
        <w:t>vant publications</w:t>
      </w:r>
    </w:p>
    <w:p w14:paraId="31C2DFD9" w14:textId="77777777" w:rsidR="00B94EB5" w:rsidRPr="008C6E75" w:rsidRDefault="001340AF" w:rsidP="007E4BC7">
      <w:pPr>
        <w:pStyle w:val="ListParagraph"/>
        <w:numPr>
          <w:ilvl w:val="0"/>
          <w:numId w:val="3"/>
        </w:numPr>
        <w:rPr>
          <w:rFonts w:cstheme="minorHAnsi"/>
          <w:sz w:val="24"/>
          <w:szCs w:val="24"/>
        </w:rPr>
      </w:pPr>
      <w:r w:rsidRPr="008C6E75">
        <w:rPr>
          <w:rFonts w:cstheme="minorHAnsi"/>
          <w:sz w:val="24"/>
          <w:szCs w:val="24"/>
        </w:rPr>
        <w:t>Name, position, affiliation and contact details of the person(s) sending the nomination</w:t>
      </w:r>
    </w:p>
    <w:sectPr w:rsidR="00B94EB5" w:rsidRPr="008C6E75" w:rsidSect="007F276F">
      <w:pgSz w:w="11906" w:h="16838"/>
      <w:pgMar w:top="568"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41F"/>
    <w:multiLevelType w:val="hybridMultilevel"/>
    <w:tmpl w:val="4D0E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6526D"/>
    <w:multiLevelType w:val="hybridMultilevel"/>
    <w:tmpl w:val="C004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A2D36"/>
    <w:multiLevelType w:val="hybridMultilevel"/>
    <w:tmpl w:val="35F6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976362">
    <w:abstractNumId w:val="0"/>
  </w:num>
  <w:num w:numId="2" w16cid:durableId="291791508">
    <w:abstractNumId w:val="2"/>
  </w:num>
  <w:num w:numId="3" w16cid:durableId="105979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76"/>
    <w:rsid w:val="000F3A10"/>
    <w:rsid w:val="001340AF"/>
    <w:rsid w:val="001C6418"/>
    <w:rsid w:val="001F4534"/>
    <w:rsid w:val="00266D7B"/>
    <w:rsid w:val="0030548F"/>
    <w:rsid w:val="004D5302"/>
    <w:rsid w:val="00601443"/>
    <w:rsid w:val="0067661C"/>
    <w:rsid w:val="00720E76"/>
    <w:rsid w:val="007F276F"/>
    <w:rsid w:val="008C6E75"/>
    <w:rsid w:val="009657C6"/>
    <w:rsid w:val="009B2556"/>
    <w:rsid w:val="00A17A03"/>
    <w:rsid w:val="00A81644"/>
    <w:rsid w:val="00B81553"/>
    <w:rsid w:val="00B86FFA"/>
    <w:rsid w:val="00B94EB5"/>
    <w:rsid w:val="00C30EA0"/>
    <w:rsid w:val="00D222B8"/>
    <w:rsid w:val="00D93E60"/>
    <w:rsid w:val="00E06783"/>
    <w:rsid w:val="00E302D6"/>
    <w:rsid w:val="00ED6541"/>
    <w:rsid w:val="00F06158"/>
    <w:rsid w:val="00FD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C187"/>
  <w15:chartTrackingRefBased/>
  <w15:docId w15:val="{2DF221F6-FE81-4B4A-A240-0C6A0D13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34"/>
    <w:pPr>
      <w:ind w:left="720"/>
      <w:contextualSpacing/>
    </w:pPr>
  </w:style>
  <w:style w:type="paragraph" w:styleId="BalloonText">
    <w:name w:val="Balloon Text"/>
    <w:basedOn w:val="Normal"/>
    <w:link w:val="BalloonTextChar"/>
    <w:uiPriority w:val="99"/>
    <w:semiHidden/>
    <w:unhideWhenUsed/>
    <w:rsid w:val="008C6E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75"/>
    <w:rPr>
      <w:rFonts w:ascii="Segoe UI" w:hAnsi="Segoe UI" w:cs="Segoe UI"/>
      <w:sz w:val="18"/>
      <w:szCs w:val="18"/>
    </w:rPr>
  </w:style>
  <w:style w:type="paragraph" w:styleId="Revision">
    <w:name w:val="Revision"/>
    <w:hidden/>
    <w:uiPriority w:val="99"/>
    <w:semiHidden/>
    <w:rsid w:val="00B8155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43581">
      <w:bodyDiv w:val="1"/>
      <w:marLeft w:val="0"/>
      <w:marRight w:val="0"/>
      <w:marTop w:val="0"/>
      <w:marBottom w:val="0"/>
      <w:divBdr>
        <w:top w:val="none" w:sz="0" w:space="0" w:color="auto"/>
        <w:left w:val="none" w:sz="0" w:space="0" w:color="auto"/>
        <w:bottom w:val="none" w:sz="0" w:space="0" w:color="auto"/>
        <w:right w:val="none" w:sz="0" w:space="0" w:color="auto"/>
      </w:divBdr>
      <w:divsChild>
        <w:div w:id="625815410">
          <w:marLeft w:val="0"/>
          <w:marRight w:val="0"/>
          <w:marTop w:val="0"/>
          <w:marBottom w:val="0"/>
          <w:divBdr>
            <w:top w:val="none" w:sz="0" w:space="0" w:color="auto"/>
            <w:left w:val="none" w:sz="0" w:space="0" w:color="auto"/>
            <w:bottom w:val="none" w:sz="0" w:space="0" w:color="auto"/>
            <w:right w:val="none" w:sz="0" w:space="0" w:color="auto"/>
          </w:divBdr>
          <w:divsChild>
            <w:div w:id="217783793">
              <w:marLeft w:val="0"/>
              <w:marRight w:val="0"/>
              <w:marTop w:val="0"/>
              <w:marBottom w:val="0"/>
              <w:divBdr>
                <w:top w:val="none" w:sz="0" w:space="0" w:color="auto"/>
                <w:left w:val="none" w:sz="0" w:space="0" w:color="auto"/>
                <w:bottom w:val="none" w:sz="0" w:space="0" w:color="auto"/>
                <w:right w:val="none" w:sz="0" w:space="0" w:color="auto"/>
              </w:divBdr>
              <w:divsChild>
                <w:div w:id="83188576">
                  <w:marLeft w:val="0"/>
                  <w:marRight w:val="0"/>
                  <w:marTop w:val="0"/>
                  <w:marBottom w:val="0"/>
                  <w:divBdr>
                    <w:top w:val="none" w:sz="0" w:space="0" w:color="auto"/>
                    <w:left w:val="none" w:sz="0" w:space="0" w:color="auto"/>
                    <w:bottom w:val="none" w:sz="0" w:space="0" w:color="auto"/>
                    <w:right w:val="none" w:sz="0" w:space="0" w:color="auto"/>
                  </w:divBdr>
                  <w:divsChild>
                    <w:div w:id="833573290">
                      <w:marLeft w:val="0"/>
                      <w:marRight w:val="0"/>
                      <w:marTop w:val="0"/>
                      <w:marBottom w:val="0"/>
                      <w:divBdr>
                        <w:top w:val="none" w:sz="0" w:space="0" w:color="auto"/>
                        <w:left w:val="none" w:sz="0" w:space="0" w:color="auto"/>
                        <w:bottom w:val="none" w:sz="0" w:space="0" w:color="auto"/>
                        <w:right w:val="none" w:sz="0" w:space="0" w:color="auto"/>
                      </w:divBdr>
                      <w:divsChild>
                        <w:div w:id="1936133749">
                          <w:marLeft w:val="0"/>
                          <w:marRight w:val="0"/>
                          <w:marTop w:val="0"/>
                          <w:marBottom w:val="0"/>
                          <w:divBdr>
                            <w:top w:val="none" w:sz="0" w:space="0" w:color="auto"/>
                            <w:left w:val="none" w:sz="0" w:space="0" w:color="auto"/>
                            <w:bottom w:val="none" w:sz="0" w:space="0" w:color="auto"/>
                            <w:right w:val="none" w:sz="0" w:space="0" w:color="auto"/>
                          </w:divBdr>
                          <w:divsChild>
                            <w:div w:id="3191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8927A9B6A26449097E2529170576E" ma:contentTypeVersion="6" ma:contentTypeDescription="Create a new document." ma:contentTypeScope="" ma:versionID="7a32824337467a2d76ed123276daa969">
  <xsd:schema xmlns:xsd="http://www.w3.org/2001/XMLSchema" xmlns:xs="http://www.w3.org/2001/XMLSchema" xmlns:p="http://schemas.microsoft.com/office/2006/metadata/properties" xmlns:ns2="74f0c209-4ab0-4099-8b49-b96e6392d8bf" xmlns:ns3="e8865bb3-2d26-40fa-b356-7b5f3dc0d31e" targetNamespace="http://schemas.microsoft.com/office/2006/metadata/properties" ma:root="true" ma:fieldsID="2d61d860982391885d0a9b749b1d8220" ns2:_="" ns3:_="">
    <xsd:import namespace="74f0c209-4ab0-4099-8b49-b96e6392d8bf"/>
    <xsd:import namespace="e8865bb3-2d26-40fa-b356-7b5f3dc0d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0c209-4ab0-4099-8b49-b96e6392d8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bb3-2d26-40fa-b356-7b5f3dc0d3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5F7E2-6B2D-4D67-B704-F60D8F083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0c209-4ab0-4099-8b49-b96e6392d8bf"/>
    <ds:schemaRef ds:uri="e8865bb3-2d26-40fa-b356-7b5f3dc0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ED4E7-F526-4F7B-BE89-818D97EDB0A0}">
  <ds:schemaRefs>
    <ds:schemaRef ds:uri="http://schemas.microsoft.com/sharepoint/v3/contenttype/forms"/>
  </ds:schemaRefs>
</ds:datastoreItem>
</file>

<file path=customXml/itemProps3.xml><?xml version="1.0" encoding="utf-8"?>
<ds:datastoreItem xmlns:ds="http://schemas.openxmlformats.org/officeDocument/2006/customXml" ds:itemID="{73B616D4-3A5D-44D4-B91E-2B2865545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Smith</dc:creator>
  <cp:keywords/>
  <dc:description/>
  <cp:lastModifiedBy>Allison Smith</cp:lastModifiedBy>
  <cp:revision>6</cp:revision>
  <dcterms:created xsi:type="dcterms:W3CDTF">2022-01-13T07:54:00Z</dcterms:created>
  <dcterms:modified xsi:type="dcterms:W3CDTF">2023-03-30T12:38:00Z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0x0101003028927A9B6A26449097E2529170576E</vt:lpwstr>
  </property>
</Properties>
</file>